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0CF80" w14:textId="0B5460C7" w:rsidR="00096E4C" w:rsidRDefault="00096E4C" w:rsidP="00096E4C">
      <w:pPr>
        <w:pStyle w:val="CH"/>
      </w:pPr>
      <w:bookmarkStart w:id="0" w:name="historyclause"/>
      <w:r w:rsidRPr="00B070F5">
        <w:t>3GPP RAN WG</w:t>
      </w:r>
      <w:r>
        <w:t>4</w:t>
      </w:r>
      <w:r w:rsidRPr="00B070F5">
        <w:t xml:space="preserve"> Meeting #</w:t>
      </w:r>
      <w:r>
        <w:t>92</w:t>
      </w:r>
      <w:r w:rsidRPr="00B070F5">
        <w:t>bis</w:t>
      </w:r>
      <w:r>
        <w:tab/>
      </w:r>
      <w:r>
        <w:tab/>
      </w:r>
      <w:r w:rsidR="00DC30F8" w:rsidRPr="00DC30F8">
        <w:t>R4-1911499</w:t>
      </w:r>
    </w:p>
    <w:p w14:paraId="16852D55" w14:textId="77777777" w:rsidR="00096E4C" w:rsidRPr="00FD166F" w:rsidRDefault="00096E4C" w:rsidP="00096E4C">
      <w:pPr>
        <w:pStyle w:val="CH"/>
        <w:tabs>
          <w:tab w:val="clear" w:pos="7920"/>
        </w:tabs>
        <w:rPr>
          <w:b w:val="0"/>
        </w:rPr>
      </w:pPr>
      <w:r w:rsidRPr="00B070F5">
        <w:t xml:space="preserve">Chongqing, China, 14 – </w:t>
      </w:r>
      <w:r>
        <w:t>18</w:t>
      </w:r>
      <w:r w:rsidRPr="00B070F5">
        <w:t>th October 201</w:t>
      </w:r>
      <w:r>
        <w:t>9</w:t>
      </w:r>
    </w:p>
    <w:p w14:paraId="39A0EE25" w14:textId="77777777" w:rsidR="00D309CC" w:rsidRDefault="00D309CC" w:rsidP="00D309CC">
      <w:pPr>
        <w:tabs>
          <w:tab w:val="left" w:pos="2160"/>
        </w:tabs>
        <w:rPr>
          <w:rFonts w:ascii="Arial" w:hAnsi="Arial" w:cs="Arial"/>
          <w:b/>
        </w:rPr>
      </w:pPr>
    </w:p>
    <w:p w14:paraId="6DDCE159" w14:textId="4A00867C" w:rsidR="00D309CC" w:rsidRPr="0008103A" w:rsidRDefault="00D309CC" w:rsidP="00D309CC">
      <w:pPr>
        <w:pStyle w:val="CH"/>
        <w:rPr>
          <w:b w:val="0"/>
        </w:rPr>
      </w:pPr>
      <w:r w:rsidRPr="0008103A">
        <w:t>Agenda item:</w:t>
      </w:r>
      <w:r>
        <w:tab/>
      </w:r>
      <w:r w:rsidR="007621C9" w:rsidRPr="007621C9">
        <w:t>8.15</w:t>
      </w:r>
    </w:p>
    <w:p w14:paraId="4DBE005A" w14:textId="77777777" w:rsidR="00D309CC" w:rsidRPr="0008103A" w:rsidRDefault="00D309CC" w:rsidP="00D309CC">
      <w:pPr>
        <w:pStyle w:val="CH"/>
        <w:rPr>
          <w:b w:val="0"/>
        </w:rPr>
      </w:pPr>
      <w:r>
        <w:t>Source:</w:t>
      </w:r>
      <w:r>
        <w:tab/>
        <w:t>Apple Inc.</w:t>
      </w:r>
    </w:p>
    <w:p w14:paraId="0D2061A1" w14:textId="36D98E18" w:rsidR="00D309CC" w:rsidRDefault="00D309CC" w:rsidP="008B1DF7">
      <w:pPr>
        <w:pStyle w:val="CH"/>
        <w:ind w:left="2250" w:hanging="2250"/>
      </w:pPr>
      <w:r w:rsidRPr="0008103A">
        <w:t>Title:</w:t>
      </w:r>
      <w:r w:rsidRPr="0008103A">
        <w:tab/>
      </w:r>
      <w:r w:rsidR="00C315E4" w:rsidRPr="00C315E4">
        <w:t>Views on the work plan for the FR2 RRM work item</w:t>
      </w:r>
    </w:p>
    <w:p w14:paraId="052B1E0C" w14:textId="415FDEBE" w:rsidR="00104BC6" w:rsidRDefault="00104BC6" w:rsidP="00D309CC">
      <w:pPr>
        <w:pStyle w:val="CH"/>
      </w:pPr>
      <w:r>
        <w:t>WI/SI:</w:t>
      </w:r>
      <w:r>
        <w:tab/>
      </w:r>
      <w:r w:rsidR="00C315E4" w:rsidRPr="00C315E4">
        <w:t>NR_RRM_Enh_Core</w:t>
      </w:r>
    </w:p>
    <w:p w14:paraId="6C6D1281" w14:textId="6DA15670" w:rsidR="00104BC6" w:rsidRDefault="00104BC6" w:rsidP="00D309CC">
      <w:pPr>
        <w:pStyle w:val="CH"/>
        <w:rPr>
          <w:b w:val="0"/>
        </w:rPr>
      </w:pPr>
      <w:r>
        <w:t>Release:</w:t>
      </w:r>
      <w:r>
        <w:tab/>
      </w:r>
      <w:r w:rsidR="00752075" w:rsidRPr="00752075">
        <w:t>Rel-1</w:t>
      </w:r>
      <w:r w:rsidR="008B1DF7">
        <w:t>6</w:t>
      </w:r>
    </w:p>
    <w:p w14:paraId="2E4E044D" w14:textId="6B032CC3" w:rsidR="00D309CC" w:rsidRDefault="00D309CC" w:rsidP="00D309CC">
      <w:pPr>
        <w:pStyle w:val="CH"/>
      </w:pPr>
      <w:r>
        <w:t>Document for:</w:t>
      </w:r>
      <w:r>
        <w:tab/>
      </w:r>
      <w:r w:rsidR="008B1DF7">
        <w:t>Discussion</w:t>
      </w:r>
    </w:p>
    <w:p w14:paraId="0207DB43" w14:textId="77777777" w:rsidR="00D46431" w:rsidRPr="0008103A" w:rsidRDefault="00D46431" w:rsidP="00D309CC">
      <w:pPr>
        <w:pStyle w:val="CH"/>
        <w:rPr>
          <w:b w:val="0"/>
        </w:rPr>
      </w:pPr>
    </w:p>
    <w:p w14:paraId="0273524A" w14:textId="1B43B714" w:rsidR="008E7986" w:rsidRPr="004D3578" w:rsidRDefault="008E7986" w:rsidP="008E7986">
      <w:pPr>
        <w:pStyle w:val="Heading1"/>
      </w:pPr>
      <w:r>
        <w:t>1</w:t>
      </w:r>
      <w:r>
        <w:tab/>
      </w:r>
      <w:r w:rsidRPr="004D3578">
        <w:t>Introduction</w:t>
      </w:r>
    </w:p>
    <w:p w14:paraId="793B4A50" w14:textId="62508F81" w:rsidR="002747FA" w:rsidRDefault="0083085A" w:rsidP="002747FA">
      <w:r>
        <w:t xml:space="preserve">The Rel-16 FR2 </w:t>
      </w:r>
      <w:r w:rsidR="00C315E4">
        <w:t>RRM</w:t>
      </w:r>
      <w:r>
        <w:t xml:space="preserve"> work item includes the following scope related to non-simultaneous transmission for intra-band non-contiguous UL CA in FR2</w:t>
      </w:r>
      <w:r w:rsidR="00C315E4">
        <w:t xml:space="preserve"> </w:t>
      </w:r>
      <w:r w:rsidR="00C315E4">
        <w:fldChar w:fldCharType="begin"/>
      </w:r>
      <w:r w:rsidR="00C315E4">
        <w:instrText xml:space="preserve"> REF _Ref16616135 \r \h </w:instrText>
      </w:r>
      <w:r w:rsidR="00C315E4">
        <w:fldChar w:fldCharType="separate"/>
      </w:r>
      <w:r w:rsidR="00B07C17">
        <w:t>[1]</w:t>
      </w:r>
      <w:r w:rsidR="00C315E4">
        <w:fldChar w:fldCharType="end"/>
      </w:r>
      <w:r>
        <w:t>:</w:t>
      </w:r>
    </w:p>
    <w:p w14:paraId="50150BF2" w14:textId="77777777" w:rsidR="00C315E4" w:rsidRDefault="00C315E4" w:rsidP="0083085A">
      <w:pPr>
        <w:rPr>
          <w:lang w:val="en-US"/>
        </w:rPr>
      </w:pPr>
      <w:r>
        <w:rPr>
          <w:noProof/>
        </w:rPr>
        <mc:AlternateContent>
          <mc:Choice Requires="wps">
            <w:drawing>
              <wp:inline distT="0" distB="0" distL="0" distR="0" wp14:anchorId="2C9D6FBA" wp14:editId="6F1E6060">
                <wp:extent cx="1828800" cy="1828800"/>
                <wp:effectExtent l="0" t="0" r="18415" b="12065"/>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B4E93F" w14:textId="77777777" w:rsidR="00C315E4" w:rsidRDefault="00C315E4" w:rsidP="00C315E4">
                            <w:r>
                              <w:t>(2)</w:t>
                            </w:r>
                            <w:r>
                              <w:tab/>
                              <w:t>Non-simultaneous UL carrier operation in FR2</w:t>
                            </w:r>
                          </w:p>
                          <w:p w14:paraId="7D650288" w14:textId="77777777" w:rsidR="00C315E4" w:rsidRDefault="00C315E4" w:rsidP="00C315E4">
                            <w:pPr>
                              <w:pStyle w:val="B1"/>
                            </w:pPr>
                            <w:r>
                              <w:t>-</w:t>
                            </w:r>
                            <w:r>
                              <w:tab/>
                              <w:t>RRM requirements for non-simultaneous transmission on aggregated inter-band FR2 UL carriers</w:t>
                            </w:r>
                          </w:p>
                          <w:p w14:paraId="271F03EF" w14:textId="77777777" w:rsidR="00C315E4" w:rsidRPr="00C315E4" w:rsidRDefault="00C315E4" w:rsidP="00C315E4">
                            <w:pPr>
                              <w:pStyle w:val="B2"/>
                            </w:pPr>
                            <w:r w:rsidRPr="00C315E4">
                              <w:t>-</w:t>
                            </w:r>
                            <w:r w:rsidRPr="00C315E4">
                              <w:tab/>
                              <w:t>Phase 1: Based on the outcome of Phase 1 of the corresponding objective in the Rel-16 FR2 RF Work Item (RP-190761), study switching delays associated with UL BWP configuration and activation across non-simultaneous UL carriers and study potential impacts on RAN1 and/or RAN2 specifications</w:t>
                            </w:r>
                          </w:p>
                          <w:p w14:paraId="6BE6AA49" w14:textId="77777777" w:rsidR="00C315E4" w:rsidRPr="00C315E4" w:rsidRDefault="00C315E4" w:rsidP="00C315E4">
                            <w:pPr>
                              <w:pStyle w:val="B3"/>
                            </w:pPr>
                            <w:r w:rsidRPr="00C315E4">
                              <w:t>-</w:t>
                            </w:r>
                            <w:r w:rsidRPr="00C315E4">
                              <w:tab/>
                              <w:t>NOTE: This work to start after Phase 1 of the RF Work Item concludes that it is feasible</w:t>
                            </w:r>
                          </w:p>
                          <w:p w14:paraId="0B1F90C8" w14:textId="77777777" w:rsidR="00C315E4" w:rsidRPr="00C315E4" w:rsidRDefault="00C315E4" w:rsidP="00C315E4">
                            <w:pPr>
                              <w:pStyle w:val="B2"/>
                            </w:pPr>
                            <w:r w:rsidRPr="00C315E4">
                              <w:t>-</w:t>
                            </w:r>
                            <w:r w:rsidRPr="00C315E4">
                              <w:tab/>
                              <w:t>Phase 2: Define the corresponding delay and interruption requirements if identified</w:t>
                            </w:r>
                          </w:p>
                          <w:p w14:paraId="55020F9D" w14:textId="77777777" w:rsidR="00C315E4" w:rsidRDefault="00C315E4" w:rsidP="00C315E4">
                            <w:pPr>
                              <w:pStyle w:val="B1"/>
                            </w:pPr>
                            <w:r>
                              <w:t>-</w:t>
                            </w:r>
                            <w:r>
                              <w:tab/>
                              <w:t>RRM requirements for non-simultaneous transmission on aggregated intra-band non-contiguous FR2 UL carriers</w:t>
                            </w:r>
                          </w:p>
                          <w:p w14:paraId="4B1DD466" w14:textId="77777777" w:rsidR="00C315E4" w:rsidRPr="00C315E4" w:rsidRDefault="00C315E4" w:rsidP="00C315E4">
                            <w:pPr>
                              <w:pStyle w:val="B2"/>
                            </w:pPr>
                            <w:r w:rsidRPr="00C315E4">
                              <w:t>-</w:t>
                            </w:r>
                            <w:r w:rsidRPr="00C315E4">
                              <w:tab/>
                              <w:t>Phase 1: Based on the outcome of Phase 1 of the corresponding objective in the Rel-16 FR2 RF Work Item (RP-190761), study switching delays associated with UL BWP configuration and activation across non-simultaneous UL carriers and study potential impacts on RAN1 and/or RAN2 specifications</w:t>
                            </w:r>
                          </w:p>
                          <w:p w14:paraId="526A2924" w14:textId="77777777" w:rsidR="00C315E4" w:rsidRPr="00C315E4" w:rsidRDefault="00C315E4" w:rsidP="00C315E4">
                            <w:pPr>
                              <w:pStyle w:val="B3"/>
                            </w:pPr>
                            <w:r w:rsidRPr="00C315E4">
                              <w:t>-</w:t>
                            </w:r>
                            <w:r w:rsidRPr="00C315E4">
                              <w:tab/>
                              <w:t>NOTE: This work to start after Phase 1 of the RF Work Item concludes that it is feasible</w:t>
                            </w:r>
                          </w:p>
                          <w:p w14:paraId="4DB92CFC" w14:textId="77777777" w:rsidR="00C315E4" w:rsidRPr="00C23D1E" w:rsidRDefault="00C315E4" w:rsidP="00C23D1E">
                            <w:pPr>
                              <w:pStyle w:val="B2"/>
                            </w:pPr>
                            <w:r w:rsidRPr="00C315E4">
                              <w:t>-</w:t>
                            </w:r>
                            <w:r w:rsidRPr="00C315E4">
                              <w:tab/>
                              <w:t>Phase 2: Define the corresponding delay and interruption requirements if identified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C9D6FBA" id="_x0000_t202" coordsize="21600,21600" o:spt="202" path="m,l,21600r21600,l21600,xe">
                <v:stroke joinstyle="miter"/>
                <v:path gradientshapeok="t" o:connecttype="rect"/>
              </v:shapetype>
              <v:shape id="Text Box 4"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FhRQOY6AgAAeAQAAA4AAAAAAAAAAAAA&#13;&#10;AAAALgIAAGRycy9lMm9Eb2MueG1sUEsBAi0AFAAGAAgAAAAhAAUyY4naAAAACgEAAA8AAAAAAAAA&#13;&#10;AAAAAAAAlAQAAGRycy9kb3ducmV2LnhtbFBLBQYAAAAABAAEAPMAAACbBQAAAAA=&#13;&#10;" filled="f" strokeweight=".5pt">
                <v:textbox style="mso-fit-shape-to-text:t">
                  <w:txbxContent>
                    <w:p w14:paraId="7EB4E93F" w14:textId="77777777" w:rsidR="00C315E4" w:rsidRDefault="00C315E4" w:rsidP="00C315E4">
                      <w:r>
                        <w:t>(2)</w:t>
                      </w:r>
                      <w:r>
                        <w:tab/>
                        <w:t>Non-simultaneous UL carrier operation in FR2</w:t>
                      </w:r>
                    </w:p>
                    <w:p w14:paraId="7D650288" w14:textId="77777777" w:rsidR="00C315E4" w:rsidRDefault="00C315E4" w:rsidP="00C315E4">
                      <w:pPr>
                        <w:pStyle w:val="B1"/>
                      </w:pPr>
                      <w:r>
                        <w:t>-</w:t>
                      </w:r>
                      <w:r>
                        <w:tab/>
                        <w:t>RRM requirements for non-simultaneous transmission on aggregated inter-band FR2 UL carriers</w:t>
                      </w:r>
                    </w:p>
                    <w:p w14:paraId="271F03EF" w14:textId="77777777" w:rsidR="00C315E4" w:rsidRPr="00C315E4" w:rsidRDefault="00C315E4" w:rsidP="00C315E4">
                      <w:pPr>
                        <w:pStyle w:val="B2"/>
                      </w:pPr>
                      <w:r w:rsidRPr="00C315E4">
                        <w:t>-</w:t>
                      </w:r>
                      <w:r w:rsidRPr="00C315E4">
                        <w:tab/>
                        <w:t>Phase 1: Based on the outcome of Phase 1 of the corresponding objective in the Rel-16 FR2 RF Work Item (RP-190761), study switching delays associated with UL BWP configuration and activation across non-simultaneous UL carriers and study potential impacts on RAN1 and/or RAN2 specifications</w:t>
                      </w:r>
                    </w:p>
                    <w:p w14:paraId="6BE6AA49" w14:textId="77777777" w:rsidR="00C315E4" w:rsidRPr="00C315E4" w:rsidRDefault="00C315E4" w:rsidP="00C315E4">
                      <w:pPr>
                        <w:pStyle w:val="B3"/>
                      </w:pPr>
                      <w:r w:rsidRPr="00C315E4">
                        <w:t>-</w:t>
                      </w:r>
                      <w:r w:rsidRPr="00C315E4">
                        <w:tab/>
                        <w:t>NOTE: This work to start after Phase 1 of the RF Work Item concludes that it is feasible</w:t>
                      </w:r>
                    </w:p>
                    <w:p w14:paraId="0B1F90C8" w14:textId="77777777" w:rsidR="00C315E4" w:rsidRPr="00C315E4" w:rsidRDefault="00C315E4" w:rsidP="00C315E4">
                      <w:pPr>
                        <w:pStyle w:val="B2"/>
                      </w:pPr>
                      <w:r w:rsidRPr="00C315E4">
                        <w:t>-</w:t>
                      </w:r>
                      <w:r w:rsidRPr="00C315E4">
                        <w:tab/>
                        <w:t>Phase 2: Define the corresponding delay and interruption requirements if identified</w:t>
                      </w:r>
                    </w:p>
                    <w:p w14:paraId="55020F9D" w14:textId="77777777" w:rsidR="00C315E4" w:rsidRDefault="00C315E4" w:rsidP="00C315E4">
                      <w:pPr>
                        <w:pStyle w:val="B1"/>
                      </w:pPr>
                      <w:r>
                        <w:t>-</w:t>
                      </w:r>
                      <w:r>
                        <w:tab/>
                        <w:t>RRM requirements for non-simultaneous transmission on aggregated intra-band non-contiguous FR2 UL carriers</w:t>
                      </w:r>
                    </w:p>
                    <w:p w14:paraId="4B1DD466" w14:textId="77777777" w:rsidR="00C315E4" w:rsidRPr="00C315E4" w:rsidRDefault="00C315E4" w:rsidP="00C315E4">
                      <w:pPr>
                        <w:pStyle w:val="B2"/>
                      </w:pPr>
                      <w:r w:rsidRPr="00C315E4">
                        <w:t>-</w:t>
                      </w:r>
                      <w:r w:rsidRPr="00C315E4">
                        <w:tab/>
                        <w:t>Phase 1: Based on the outcome of Phase 1 of the corresponding objective in the Rel-16 FR2 RF Work Item (RP-190761), study switching delays associated with UL BWP configuration and activation across non-simultaneous UL carriers and study potential impacts on RAN1 and/or RAN2 specifications</w:t>
                      </w:r>
                    </w:p>
                    <w:p w14:paraId="526A2924" w14:textId="77777777" w:rsidR="00C315E4" w:rsidRPr="00C315E4" w:rsidRDefault="00C315E4" w:rsidP="00C315E4">
                      <w:pPr>
                        <w:pStyle w:val="B3"/>
                      </w:pPr>
                      <w:r w:rsidRPr="00C315E4">
                        <w:t>-</w:t>
                      </w:r>
                      <w:r w:rsidRPr="00C315E4">
                        <w:tab/>
                        <w:t>NOTE: This work to start after Phase 1 of the RF Work Item concludes that it is feasible</w:t>
                      </w:r>
                    </w:p>
                    <w:p w14:paraId="4DB92CFC" w14:textId="77777777" w:rsidR="00C315E4" w:rsidRPr="00C23D1E" w:rsidRDefault="00C315E4" w:rsidP="00C23D1E">
                      <w:pPr>
                        <w:pStyle w:val="B2"/>
                      </w:pPr>
                      <w:r w:rsidRPr="00C315E4">
                        <w:t>-</w:t>
                      </w:r>
                      <w:r w:rsidRPr="00C315E4">
                        <w:tab/>
                        <w:t>Phase 2: Define the corresponding delay and interruption requirements if identified</w:t>
                      </w:r>
                    </w:p>
                  </w:txbxContent>
                </v:textbox>
                <w10:anchorlock/>
              </v:shape>
            </w:pict>
          </mc:Fallback>
        </mc:AlternateContent>
      </w:r>
    </w:p>
    <w:p w14:paraId="43D8621D" w14:textId="3D977D35" w:rsidR="0083085A" w:rsidRPr="0083085A" w:rsidRDefault="004F2CBC" w:rsidP="0083085A">
      <w:pPr>
        <w:rPr>
          <w:lang w:val="en-US"/>
        </w:rPr>
      </w:pPr>
      <w:r>
        <w:rPr>
          <w:lang w:val="en-US"/>
        </w:rPr>
        <w:t xml:space="preserve">Non-simultaneous transmission for non-contiguous FR2 UL carriers was previously proposed in a separate work item </w:t>
      </w:r>
      <w:r>
        <w:rPr>
          <w:lang w:val="en-US"/>
        </w:rPr>
        <w:fldChar w:fldCharType="begin"/>
      </w:r>
      <w:r>
        <w:rPr>
          <w:lang w:val="en-US"/>
        </w:rPr>
        <w:instrText xml:space="preserve"> REF _Ref16578384 \r \h </w:instrText>
      </w:r>
      <w:r>
        <w:rPr>
          <w:lang w:val="en-US"/>
        </w:rPr>
      </w:r>
      <w:r>
        <w:rPr>
          <w:lang w:val="en-US"/>
        </w:rPr>
        <w:fldChar w:fldCharType="separate"/>
      </w:r>
      <w:r w:rsidR="00B07C17">
        <w:rPr>
          <w:lang w:val="en-US"/>
        </w:rPr>
        <w:t>[3]</w:t>
      </w:r>
      <w:r>
        <w:rPr>
          <w:lang w:val="en-US"/>
        </w:rPr>
        <w:fldChar w:fldCharType="end"/>
      </w:r>
      <w:r>
        <w:rPr>
          <w:lang w:val="en-US"/>
        </w:rPr>
        <w:t xml:space="preserve">, </w:t>
      </w:r>
      <w:r>
        <w:rPr>
          <w:lang w:val="en-US"/>
        </w:rPr>
        <w:fldChar w:fldCharType="begin"/>
      </w:r>
      <w:r>
        <w:rPr>
          <w:lang w:val="en-US"/>
        </w:rPr>
        <w:instrText xml:space="preserve"> REF _Ref16578386 \r \h </w:instrText>
      </w:r>
      <w:r>
        <w:rPr>
          <w:lang w:val="en-US"/>
        </w:rPr>
      </w:r>
      <w:r>
        <w:rPr>
          <w:lang w:val="en-US"/>
        </w:rPr>
        <w:fldChar w:fldCharType="separate"/>
      </w:r>
      <w:r w:rsidR="00B07C17">
        <w:rPr>
          <w:lang w:val="en-US"/>
        </w:rPr>
        <w:t>[4]</w:t>
      </w:r>
      <w:r>
        <w:rPr>
          <w:lang w:val="en-US"/>
        </w:rPr>
        <w:fldChar w:fldCharType="end"/>
      </w:r>
      <w:r>
        <w:rPr>
          <w:lang w:val="en-US"/>
        </w:rPr>
        <w:t>, which has since been merged into the Rel-16 FR2 RF work item</w:t>
      </w:r>
      <w:r w:rsidR="00C315E4">
        <w:rPr>
          <w:lang w:val="en-US"/>
        </w:rPr>
        <w:t xml:space="preserve"> </w:t>
      </w:r>
      <w:r w:rsidR="00C315E4">
        <w:rPr>
          <w:lang w:val="en-US"/>
        </w:rPr>
        <w:fldChar w:fldCharType="begin"/>
      </w:r>
      <w:r w:rsidR="00C315E4">
        <w:rPr>
          <w:lang w:val="en-US"/>
        </w:rPr>
        <w:instrText xml:space="preserve"> REF _Ref16616383 \r \h </w:instrText>
      </w:r>
      <w:r w:rsidR="00C315E4">
        <w:rPr>
          <w:lang w:val="en-US"/>
        </w:rPr>
      </w:r>
      <w:r w:rsidR="00C315E4">
        <w:rPr>
          <w:lang w:val="en-US"/>
        </w:rPr>
        <w:fldChar w:fldCharType="separate"/>
      </w:r>
      <w:r w:rsidR="00B07C17">
        <w:rPr>
          <w:lang w:val="en-US"/>
        </w:rPr>
        <w:t>[2]</w:t>
      </w:r>
      <w:r w:rsidR="00C315E4">
        <w:rPr>
          <w:lang w:val="en-US"/>
        </w:rPr>
        <w:fldChar w:fldCharType="end"/>
      </w:r>
      <w:r>
        <w:rPr>
          <w:lang w:val="en-US"/>
        </w:rPr>
        <w:t xml:space="preserve">.  </w:t>
      </w:r>
      <w:r w:rsidR="002D1B65">
        <w:rPr>
          <w:lang w:val="en-US"/>
        </w:rPr>
        <w:t>This contribution shares our views on the non-simultaneous transmission aspects and proposes a plan to conclude the related study phase.</w:t>
      </w:r>
    </w:p>
    <w:p w14:paraId="3A67921B" w14:textId="10D72052" w:rsidR="008E7986" w:rsidRDefault="008E7986" w:rsidP="008E7986">
      <w:pPr>
        <w:pStyle w:val="Heading1"/>
      </w:pPr>
      <w:r>
        <w:t>2</w:t>
      </w:r>
      <w:r>
        <w:tab/>
      </w:r>
      <w:r w:rsidR="00FB7CBD">
        <w:t>Discussion</w:t>
      </w:r>
    </w:p>
    <w:p w14:paraId="320B0B8D" w14:textId="268D81DE" w:rsidR="006955CE" w:rsidRPr="006955CE" w:rsidRDefault="006955CE" w:rsidP="006955CE">
      <w:pPr>
        <w:rPr>
          <w:rFonts w:eastAsia="SimSun"/>
          <w:lang w:eastAsia="ja-JP" w:bidi="hi-IN"/>
        </w:rPr>
      </w:pPr>
      <w:bookmarkStart w:id="1" w:name="_Toc16557494"/>
      <w:bookmarkStart w:id="2" w:name="_Toc16557789"/>
      <w:bookmarkStart w:id="3" w:name="_Toc16574060"/>
      <w:r w:rsidRPr="006955CE">
        <w:rPr>
          <w:rFonts w:eastAsia="SimSun"/>
          <w:lang w:eastAsia="ja-JP" w:bidi="hi-IN"/>
        </w:rPr>
        <w:t>The allocation of mmWave spectrum globally faces a significant challenge in terms of region-specific and nation-specific regulatory requirements to protect various uses of the spectrum, such as RADAR, astronomy, and satellite services.  The intersections of available mmWave spectrum across all or a subset of regional/national regulatory requirements result in non-contiguous frequency ranges and, consequently, are associated with complex emission requirements for optimal or aggregated usage of this spectrum in a radio access network.</w:t>
      </w:r>
    </w:p>
    <w:p w14:paraId="25D087E1" w14:textId="7A683783" w:rsidR="006955CE" w:rsidRPr="006955CE" w:rsidRDefault="006955CE" w:rsidP="006955CE">
      <w:pPr>
        <w:rPr>
          <w:rFonts w:eastAsia="SimSun"/>
          <w:lang w:eastAsia="ja-JP" w:bidi="hi-IN"/>
        </w:rPr>
      </w:pPr>
      <w:r w:rsidRPr="006955CE">
        <w:rPr>
          <w:rFonts w:eastAsia="SimSun"/>
          <w:lang w:eastAsia="ja-JP" w:bidi="hi-IN"/>
        </w:rPr>
        <w:t>In the face of these challenges, the bidirectional consumption of bandwidth, as well as efficient resource allocation via component carrier (CC) activation/de-activation in a carrier aggregation (CA) mode of operation, has motivated the prodigious increase of CA combinations in the NR FR2 specification</w:t>
      </w:r>
      <w:r>
        <w:rPr>
          <w:rFonts w:eastAsia="SimSun"/>
          <w:lang w:eastAsia="ja-JP" w:bidi="hi-IN"/>
        </w:rPr>
        <w:t xml:space="preserve"> </w:t>
      </w:r>
      <w:r>
        <w:rPr>
          <w:rFonts w:eastAsia="SimSun"/>
          <w:lang w:eastAsia="ja-JP" w:bidi="hi-IN"/>
        </w:rPr>
        <w:fldChar w:fldCharType="begin"/>
      </w:r>
      <w:r>
        <w:rPr>
          <w:rFonts w:eastAsia="SimSun"/>
          <w:lang w:eastAsia="ja-JP" w:bidi="hi-IN"/>
        </w:rPr>
        <w:instrText xml:space="preserve"> REF _Ref16576366 \r \h </w:instrText>
      </w:r>
      <w:r>
        <w:rPr>
          <w:rFonts w:eastAsia="SimSun"/>
          <w:lang w:eastAsia="ja-JP" w:bidi="hi-IN"/>
        </w:rPr>
      </w:r>
      <w:r>
        <w:rPr>
          <w:rFonts w:eastAsia="SimSun"/>
          <w:lang w:eastAsia="ja-JP" w:bidi="hi-IN"/>
        </w:rPr>
        <w:fldChar w:fldCharType="separate"/>
      </w:r>
      <w:r w:rsidR="00B07C17">
        <w:rPr>
          <w:rFonts w:eastAsia="SimSun"/>
          <w:lang w:eastAsia="ja-JP" w:bidi="hi-IN"/>
        </w:rPr>
        <w:t>[5]</w:t>
      </w:r>
      <w:r>
        <w:rPr>
          <w:rFonts w:eastAsia="SimSun"/>
          <w:lang w:eastAsia="ja-JP" w:bidi="hi-IN"/>
        </w:rPr>
        <w:fldChar w:fldCharType="end"/>
      </w:r>
      <w:r w:rsidRPr="006955CE">
        <w:rPr>
          <w:rFonts w:eastAsia="SimSun"/>
          <w:lang w:eastAsia="ja-JP" w:bidi="hi-IN"/>
        </w:rPr>
        <w:t>.  As a clear example of the implementation challenges associated with FR2 CA operation, the Rel-15 FR2 UE RF specification has limited the scope of uplink CA to only intra-band contiguous scenarios with up to 800 MHz of aggregated bandwidth.</w:t>
      </w:r>
    </w:p>
    <w:p w14:paraId="4BF97F34" w14:textId="39FE5E27" w:rsidR="006955CE" w:rsidRPr="006955CE" w:rsidRDefault="006955CE" w:rsidP="003577CB">
      <w:pPr>
        <w:rPr>
          <w:rFonts w:eastAsia="SimSun"/>
          <w:lang w:eastAsia="ja-JP" w:bidi="hi-IN"/>
        </w:rPr>
      </w:pPr>
      <w:r w:rsidRPr="006955CE">
        <w:rPr>
          <w:rFonts w:eastAsia="SimSun"/>
          <w:lang w:eastAsia="ja-JP" w:bidi="hi-IN"/>
        </w:rPr>
        <w:lastRenderedPageBreak/>
        <w:t xml:space="preserve">In an effort to maintain the flexibility of CC activation/de-activation, while retaining feasible complexity of the UE implementation in terms of compliance with regulatory emission requirements, the </w:t>
      </w:r>
      <w:r w:rsidR="003577CB">
        <w:rPr>
          <w:rFonts w:eastAsia="SimSun"/>
          <w:lang w:eastAsia="ja-JP" w:bidi="hi-IN"/>
        </w:rPr>
        <w:t xml:space="preserve">Rel-16 NR RAT </w:t>
      </w:r>
      <w:r w:rsidRPr="006955CE">
        <w:rPr>
          <w:rFonts w:eastAsia="SimSun"/>
          <w:lang w:eastAsia="ja-JP" w:bidi="hi-IN"/>
        </w:rPr>
        <w:t xml:space="preserve">can be enhanced to support </w:t>
      </w:r>
      <w:r w:rsidR="003577CB">
        <w:rPr>
          <w:rFonts w:eastAsia="SimSun"/>
          <w:lang w:eastAsia="ja-JP" w:bidi="hi-IN"/>
        </w:rPr>
        <w:t xml:space="preserve">UEs with non-simultaneous uplink of non-contiguous carriers (NSU-NCC).  </w:t>
      </w:r>
      <w:r w:rsidRPr="006955CE">
        <w:rPr>
          <w:rFonts w:eastAsia="SimSun"/>
          <w:lang w:eastAsia="ja-JP" w:bidi="hi-IN"/>
        </w:rPr>
        <w:t>This allows the UE to utilize a transmit chain supporting a single carrier (or a limited number of contiguous carriers), to comply with emission requirements within a reasonable implementation complexity, and to maintain a feasible uplink link budget, such that:</w:t>
      </w:r>
    </w:p>
    <w:p w14:paraId="3D91DE22" w14:textId="45ADC286" w:rsidR="006955CE" w:rsidRPr="006955CE" w:rsidRDefault="006955CE" w:rsidP="006955CE">
      <w:pPr>
        <w:pStyle w:val="B1"/>
        <w:rPr>
          <w:rFonts w:eastAsia="SimSun"/>
          <w:lang w:eastAsia="ja-JP" w:bidi="hi-IN"/>
        </w:rPr>
      </w:pPr>
      <w:r w:rsidRPr="006955CE">
        <w:rPr>
          <w:rFonts w:eastAsia="SimSun"/>
          <w:lang w:eastAsia="ja-JP" w:bidi="hi-IN"/>
        </w:rPr>
        <w:t>-</w:t>
      </w:r>
      <w:r w:rsidRPr="006955CE">
        <w:rPr>
          <w:rFonts w:eastAsia="SimSun"/>
          <w:lang w:eastAsia="ja-JP" w:bidi="hi-IN"/>
        </w:rPr>
        <w:tab/>
      </w:r>
      <w:r w:rsidR="003577CB">
        <w:rPr>
          <w:rFonts w:eastAsia="SimSun"/>
          <w:lang w:eastAsia="ja-JP" w:bidi="hi-IN"/>
        </w:rPr>
        <w:t xml:space="preserve">An NSU-NCC capable UE configured with an intra-band non-contiguous </w:t>
      </w:r>
      <w:r w:rsidR="00B678F8">
        <w:rPr>
          <w:rFonts w:eastAsia="SimSun"/>
          <w:lang w:eastAsia="ja-JP" w:bidi="hi-IN"/>
        </w:rPr>
        <w:t xml:space="preserve">or inter-band </w:t>
      </w:r>
      <w:r w:rsidR="003577CB">
        <w:rPr>
          <w:rFonts w:eastAsia="SimSun"/>
          <w:lang w:eastAsia="ja-JP" w:bidi="hi-IN"/>
        </w:rPr>
        <w:t>UL CA</w:t>
      </w:r>
      <w:r w:rsidRPr="006955CE">
        <w:rPr>
          <w:rFonts w:eastAsia="SimSun"/>
          <w:lang w:eastAsia="ja-JP" w:bidi="hi-IN"/>
        </w:rPr>
        <w:t xml:space="preserve"> band combinations allows the network to use Layer-1 (L1) signaling to efficiently allocate UL resources across </w:t>
      </w:r>
      <w:r w:rsidR="003577CB">
        <w:rPr>
          <w:rFonts w:eastAsia="SimSun"/>
          <w:lang w:eastAsia="ja-JP" w:bidi="hi-IN"/>
        </w:rPr>
        <w:t xml:space="preserve">the </w:t>
      </w:r>
      <w:r w:rsidRPr="006955CE">
        <w:rPr>
          <w:rFonts w:eastAsia="SimSun"/>
          <w:lang w:eastAsia="ja-JP" w:bidi="hi-IN"/>
        </w:rPr>
        <w:t>non-contiguous spectrum; the alternatives to this approach are handover or cell re-selection RRC procedures, which pose significantly longer delays</w:t>
      </w:r>
    </w:p>
    <w:p w14:paraId="20039BF0" w14:textId="67DC91BB" w:rsidR="006955CE" w:rsidRPr="006955CE" w:rsidRDefault="006955CE" w:rsidP="006955CE">
      <w:pPr>
        <w:pStyle w:val="B1"/>
        <w:rPr>
          <w:rFonts w:eastAsia="SimSun"/>
          <w:lang w:eastAsia="ja-JP" w:bidi="hi-IN"/>
        </w:rPr>
      </w:pPr>
      <w:r w:rsidRPr="006955CE">
        <w:rPr>
          <w:rFonts w:eastAsia="SimSun"/>
          <w:lang w:eastAsia="ja-JP" w:bidi="hi-IN"/>
        </w:rPr>
        <w:t>-</w:t>
      </w:r>
      <w:r w:rsidRPr="006955CE">
        <w:rPr>
          <w:rFonts w:eastAsia="SimSun"/>
          <w:lang w:eastAsia="ja-JP" w:bidi="hi-IN"/>
        </w:rPr>
        <w:tab/>
        <w:t xml:space="preserve">Because UL resource allocation </w:t>
      </w:r>
      <w:r w:rsidR="003577CB">
        <w:rPr>
          <w:rFonts w:eastAsia="SimSun"/>
          <w:lang w:eastAsia="ja-JP" w:bidi="hi-IN"/>
        </w:rPr>
        <w:t>for NSU-NCC capable UEs</w:t>
      </w:r>
      <w:r w:rsidRPr="006955CE">
        <w:rPr>
          <w:rFonts w:eastAsia="SimSun"/>
          <w:lang w:eastAsia="ja-JP" w:bidi="hi-IN"/>
        </w:rPr>
        <w:t xml:space="preserve"> is restricted to one </w:t>
      </w:r>
      <w:r w:rsidR="003577CB">
        <w:rPr>
          <w:rFonts w:eastAsia="SimSun"/>
          <w:lang w:eastAsia="ja-JP" w:bidi="hi-IN"/>
        </w:rPr>
        <w:t>non-contiguous UL</w:t>
      </w:r>
      <w:r w:rsidRPr="006955CE">
        <w:rPr>
          <w:rFonts w:eastAsia="SimSun"/>
          <w:lang w:eastAsia="ja-JP" w:bidi="hi-IN"/>
        </w:rPr>
        <w:t xml:space="preserve"> carrier at any time, the RF architecture which supports a single FR2 Tx path can be reused to support such band combinations</w:t>
      </w:r>
    </w:p>
    <w:p w14:paraId="45821B02" w14:textId="2EC23201" w:rsidR="006955CE" w:rsidRPr="006955CE" w:rsidRDefault="006955CE" w:rsidP="003577CB">
      <w:pPr>
        <w:pStyle w:val="B1"/>
        <w:rPr>
          <w:rFonts w:eastAsia="SimSun"/>
          <w:lang w:eastAsia="ja-JP" w:bidi="hi-IN"/>
        </w:rPr>
      </w:pPr>
      <w:r w:rsidRPr="006955CE">
        <w:rPr>
          <w:rFonts w:eastAsia="SimSun"/>
          <w:lang w:eastAsia="ja-JP" w:bidi="hi-IN"/>
        </w:rPr>
        <w:t>-</w:t>
      </w:r>
      <w:r w:rsidRPr="006955CE">
        <w:rPr>
          <w:rFonts w:eastAsia="SimSun"/>
          <w:lang w:eastAsia="ja-JP" w:bidi="hi-IN"/>
        </w:rPr>
        <w:tab/>
      </w:r>
      <w:r w:rsidR="003577CB">
        <w:rPr>
          <w:rFonts w:eastAsia="SimSun"/>
          <w:lang w:eastAsia="ja-JP" w:bidi="hi-IN"/>
        </w:rPr>
        <w:t>NSU-NCC capable UEs enjoy</w:t>
      </w:r>
      <w:r w:rsidRPr="006955CE">
        <w:rPr>
          <w:rFonts w:eastAsia="SimSun"/>
          <w:lang w:eastAsia="ja-JP" w:bidi="hi-IN"/>
        </w:rPr>
        <w:t xml:space="preserve"> a performance benefit in such </w:t>
      </w:r>
      <w:r w:rsidR="003577CB">
        <w:rPr>
          <w:rFonts w:eastAsia="SimSun"/>
          <w:lang w:eastAsia="ja-JP" w:bidi="hi-IN"/>
        </w:rPr>
        <w:t>UL</w:t>
      </w:r>
      <w:r w:rsidRPr="006955CE">
        <w:rPr>
          <w:rFonts w:eastAsia="SimSun"/>
          <w:lang w:eastAsia="ja-JP" w:bidi="hi-IN"/>
        </w:rPr>
        <w:t xml:space="preserve"> band combinations over </w:t>
      </w:r>
      <w:r w:rsidR="003577CB">
        <w:rPr>
          <w:rFonts w:eastAsia="SimSun"/>
          <w:lang w:eastAsia="ja-JP" w:bidi="hi-IN"/>
        </w:rPr>
        <w:t xml:space="preserve">UEs which are allocated non-contiguous UL resources simultaneously </w:t>
      </w:r>
      <w:r w:rsidRPr="006955CE">
        <w:rPr>
          <w:rFonts w:eastAsia="SimSun"/>
          <w:lang w:eastAsia="ja-JP" w:bidi="hi-IN"/>
        </w:rPr>
        <w:t xml:space="preserve">in terms of </w:t>
      </w:r>
      <w:r w:rsidR="003577CB">
        <w:rPr>
          <w:rFonts w:eastAsia="SimSun"/>
          <w:lang w:eastAsia="ja-JP" w:bidi="hi-IN"/>
        </w:rPr>
        <w:t xml:space="preserve">the </w:t>
      </w:r>
      <w:r w:rsidRPr="006955CE">
        <w:rPr>
          <w:rFonts w:eastAsia="SimSun"/>
          <w:lang w:eastAsia="ja-JP" w:bidi="hi-IN"/>
        </w:rPr>
        <w:t xml:space="preserve">maximum power reduction (MPR) needed to meet regulatory emission limits:  </w:t>
      </w:r>
      <w:r w:rsidR="003577CB">
        <w:rPr>
          <w:rFonts w:eastAsia="SimSun"/>
          <w:lang w:eastAsia="ja-JP" w:bidi="hi-IN"/>
        </w:rPr>
        <w:t xml:space="preserve">NSU-NCC capable </w:t>
      </w:r>
      <w:r w:rsidRPr="006955CE">
        <w:rPr>
          <w:rFonts w:eastAsia="SimSun"/>
          <w:lang w:eastAsia="ja-JP" w:bidi="hi-IN"/>
        </w:rPr>
        <w:t xml:space="preserve">UEs only need to meet single-carrier emission requirements, while </w:t>
      </w:r>
      <w:r w:rsidR="003577CB">
        <w:rPr>
          <w:rFonts w:eastAsia="SimSun"/>
          <w:lang w:eastAsia="ja-JP" w:bidi="hi-IN"/>
        </w:rPr>
        <w:t xml:space="preserve">simultaneous non-contiguous </w:t>
      </w:r>
      <w:r w:rsidRPr="006955CE">
        <w:rPr>
          <w:rFonts w:eastAsia="SimSun"/>
          <w:lang w:eastAsia="ja-JP" w:bidi="hi-IN"/>
        </w:rPr>
        <w:t>UL CA operation involves additional (and significant) MPR, thereby reducing the available UL link budget</w:t>
      </w:r>
    </w:p>
    <w:p w14:paraId="267026B3" w14:textId="72621EBD" w:rsidR="006955CE" w:rsidRPr="006955CE" w:rsidRDefault="006955CE" w:rsidP="003577CB">
      <w:pPr>
        <w:pStyle w:val="B1"/>
        <w:rPr>
          <w:rFonts w:eastAsia="SimSun"/>
          <w:lang w:eastAsia="ja-JP" w:bidi="hi-IN"/>
        </w:rPr>
      </w:pPr>
      <w:r w:rsidRPr="006955CE">
        <w:rPr>
          <w:rFonts w:eastAsia="SimSun"/>
          <w:lang w:eastAsia="ja-JP" w:bidi="hi-IN"/>
        </w:rPr>
        <w:t>-</w:t>
      </w:r>
      <w:r w:rsidRPr="006955CE">
        <w:rPr>
          <w:rFonts w:eastAsia="SimSun"/>
          <w:lang w:eastAsia="ja-JP" w:bidi="hi-IN"/>
        </w:rPr>
        <w:tab/>
        <w:t xml:space="preserve">The availability of the DL CA configuration allows the network to rely on efficient RRM procedure at the UE side without any delays associated with DL carrier detection, synchronization, and SI reading. Thus, the </w:t>
      </w:r>
      <w:r w:rsidR="003577CB">
        <w:rPr>
          <w:rFonts w:eastAsia="SimSun"/>
          <w:lang w:eastAsia="ja-JP" w:bidi="hi-IN"/>
        </w:rPr>
        <w:t>NSU-NCC capable UE</w:t>
      </w:r>
      <w:r w:rsidRPr="006955CE">
        <w:rPr>
          <w:rFonts w:eastAsia="SimSun"/>
          <w:lang w:eastAsia="ja-JP" w:bidi="hi-IN"/>
        </w:rPr>
        <w:t xml:space="preserve"> can be ready to activate the needed </w:t>
      </w:r>
      <w:r w:rsidR="003577CB">
        <w:rPr>
          <w:rFonts w:eastAsia="SimSun"/>
          <w:lang w:eastAsia="ja-JP" w:bidi="hi-IN"/>
        </w:rPr>
        <w:t>UL</w:t>
      </w:r>
      <w:r w:rsidRPr="006955CE">
        <w:rPr>
          <w:rFonts w:eastAsia="SimSun"/>
          <w:lang w:eastAsia="ja-JP" w:bidi="hi-IN"/>
        </w:rPr>
        <w:t xml:space="preserve"> carrier in response to the appropriate DCI</w:t>
      </w:r>
      <w:r w:rsidR="003577CB">
        <w:rPr>
          <w:rFonts w:eastAsia="SimSun"/>
          <w:lang w:eastAsia="ja-JP" w:bidi="hi-IN"/>
        </w:rPr>
        <w:t>, RRC configuration, or timer trigger</w:t>
      </w:r>
    </w:p>
    <w:p w14:paraId="00E01E52" w14:textId="60AC1CDD" w:rsidR="00983CA2" w:rsidRDefault="00983CA2" w:rsidP="006955CE">
      <w:pPr>
        <w:rPr>
          <w:rFonts w:eastAsia="SimSun"/>
          <w:lang w:eastAsia="ja-JP" w:bidi="hi-IN"/>
        </w:rPr>
      </w:pPr>
      <w:r>
        <w:rPr>
          <w:rFonts w:eastAsia="SimSun"/>
          <w:lang w:eastAsia="ja-JP" w:bidi="hi-IN"/>
        </w:rPr>
        <w:t xml:space="preserve">The related discussion in the RF session </w:t>
      </w:r>
      <w:r>
        <w:rPr>
          <w:rFonts w:eastAsia="SimSun"/>
          <w:lang w:eastAsia="ja-JP" w:bidi="hi-IN"/>
        </w:rPr>
        <w:fldChar w:fldCharType="begin"/>
      </w:r>
      <w:r>
        <w:rPr>
          <w:rFonts w:eastAsia="SimSun"/>
          <w:lang w:eastAsia="ja-JP" w:bidi="hi-IN"/>
        </w:rPr>
        <w:instrText xml:space="preserve"> REF _Ref16616515 \r \h </w:instrText>
      </w:r>
      <w:r>
        <w:rPr>
          <w:rFonts w:eastAsia="SimSun"/>
          <w:lang w:eastAsia="ja-JP" w:bidi="hi-IN"/>
        </w:rPr>
      </w:r>
      <w:r>
        <w:rPr>
          <w:rFonts w:eastAsia="SimSun"/>
          <w:lang w:eastAsia="ja-JP" w:bidi="hi-IN"/>
        </w:rPr>
        <w:fldChar w:fldCharType="separate"/>
      </w:r>
      <w:r w:rsidR="00B07C17">
        <w:rPr>
          <w:rFonts w:eastAsia="SimSun"/>
          <w:lang w:eastAsia="ja-JP" w:bidi="hi-IN"/>
        </w:rPr>
        <w:t>[6]</w:t>
      </w:r>
      <w:r>
        <w:rPr>
          <w:rFonts w:eastAsia="SimSun"/>
          <w:lang w:eastAsia="ja-JP" w:bidi="hi-IN"/>
        </w:rPr>
        <w:fldChar w:fldCharType="end"/>
      </w:r>
      <w:r>
        <w:rPr>
          <w:rFonts w:eastAsia="SimSun"/>
          <w:lang w:eastAsia="ja-JP" w:bidi="hi-IN"/>
        </w:rPr>
        <w:t xml:space="preserve">, </w:t>
      </w:r>
      <w:r>
        <w:rPr>
          <w:rFonts w:eastAsia="SimSun"/>
          <w:lang w:eastAsia="ja-JP" w:bidi="hi-IN"/>
        </w:rPr>
        <w:fldChar w:fldCharType="begin"/>
      </w:r>
      <w:r>
        <w:rPr>
          <w:rFonts w:eastAsia="SimSun"/>
          <w:lang w:eastAsia="ja-JP" w:bidi="hi-IN"/>
        </w:rPr>
        <w:instrText xml:space="preserve"> REF _Ref16616516 \r \h </w:instrText>
      </w:r>
      <w:r>
        <w:rPr>
          <w:rFonts w:eastAsia="SimSun"/>
          <w:lang w:eastAsia="ja-JP" w:bidi="hi-IN"/>
        </w:rPr>
      </w:r>
      <w:r>
        <w:rPr>
          <w:rFonts w:eastAsia="SimSun"/>
          <w:lang w:eastAsia="ja-JP" w:bidi="hi-IN"/>
        </w:rPr>
        <w:fldChar w:fldCharType="separate"/>
      </w:r>
      <w:r w:rsidR="00B07C17">
        <w:rPr>
          <w:rFonts w:eastAsia="SimSun"/>
          <w:lang w:eastAsia="ja-JP" w:bidi="hi-IN"/>
        </w:rPr>
        <w:t>[7]</w:t>
      </w:r>
      <w:r>
        <w:rPr>
          <w:rFonts w:eastAsia="SimSun"/>
          <w:lang w:eastAsia="ja-JP" w:bidi="hi-IN"/>
        </w:rPr>
        <w:fldChar w:fldCharType="end"/>
      </w:r>
      <w:r>
        <w:rPr>
          <w:rFonts w:eastAsia="SimSun"/>
          <w:lang w:eastAsia="ja-JP" w:bidi="hi-IN"/>
        </w:rPr>
        <w:t xml:space="preserve"> addresses these aspects and provides proposals to progress the study forward.  Considering the Rel-16 RRM work plan discussion, it is useful to plan the Phase 1 of the RRM effort related to </w:t>
      </w:r>
      <w:r w:rsidR="0080208B">
        <w:rPr>
          <w:rFonts w:eastAsia="SimSun"/>
          <w:lang w:eastAsia="ja-JP" w:bidi="hi-IN"/>
        </w:rPr>
        <w:t>non-contiguous UL CA and inter-band UL CA to start during the RAN4 #93.  This approach allows the UE RF session two meeting cycles to confirm the feasibility of this approach and gives the RRM session a chance to reach preliminary agreements which may impact signaling during the final meeting of 2019 and then to finalize the corresponding delay and interruption requirements (Phase 2) during the RAN4 #94 meeting.</w:t>
      </w:r>
    </w:p>
    <w:p w14:paraId="64BD4AC1" w14:textId="2D36E533" w:rsidR="00B07C17" w:rsidRDefault="00B07C17" w:rsidP="006955CE">
      <w:pPr>
        <w:rPr>
          <w:rFonts w:eastAsia="SimSun"/>
          <w:lang w:eastAsia="ja-JP" w:bidi="hi-IN"/>
        </w:rPr>
      </w:pPr>
      <w:r>
        <w:rPr>
          <w:rFonts w:eastAsia="SimSun"/>
          <w:lang w:eastAsia="ja-JP" w:bidi="hi-IN"/>
        </w:rPr>
        <w:t xml:space="preserve">Meaningful progress on the non-simultaneous effort in the RF session has been achieved and is documented in </w:t>
      </w:r>
      <w:r>
        <w:rPr>
          <w:rFonts w:eastAsia="SimSun"/>
          <w:lang w:eastAsia="ja-JP" w:bidi="hi-IN"/>
        </w:rPr>
        <w:fldChar w:fldCharType="begin"/>
      </w:r>
      <w:r>
        <w:rPr>
          <w:rFonts w:eastAsia="SimSun"/>
          <w:lang w:eastAsia="ja-JP" w:bidi="hi-IN"/>
        </w:rPr>
        <w:instrText xml:space="preserve"> REF _Ref21091495 \r \h </w:instrText>
      </w:r>
      <w:r>
        <w:rPr>
          <w:rFonts w:eastAsia="SimSun"/>
          <w:lang w:eastAsia="ja-JP" w:bidi="hi-IN"/>
        </w:rPr>
      </w:r>
      <w:r>
        <w:rPr>
          <w:rFonts w:eastAsia="SimSun"/>
          <w:lang w:eastAsia="ja-JP" w:bidi="hi-IN"/>
        </w:rPr>
        <w:fldChar w:fldCharType="separate"/>
      </w:r>
      <w:r>
        <w:rPr>
          <w:rFonts w:eastAsia="SimSun"/>
          <w:lang w:eastAsia="ja-JP" w:bidi="hi-IN"/>
        </w:rPr>
        <w:t>[8]</w:t>
      </w:r>
      <w:r>
        <w:rPr>
          <w:rFonts w:eastAsia="SimSun"/>
          <w:lang w:eastAsia="ja-JP" w:bidi="hi-IN"/>
        </w:rPr>
        <w:fldChar w:fldCharType="end"/>
      </w:r>
      <w:r>
        <w:rPr>
          <w:rFonts w:eastAsia="SimSun"/>
          <w:lang w:eastAsia="ja-JP" w:bidi="hi-IN"/>
        </w:rPr>
        <w:t>, and it is our intention to confirm the feasibility of non-simultaneous UL carrier operation, at least for intra-band non-contiguous UL CA, during the RAN4 #92bis meeting.</w:t>
      </w:r>
    </w:p>
    <w:p w14:paraId="33F451E5" w14:textId="7E49651C" w:rsidR="001041E8" w:rsidRDefault="001041E8" w:rsidP="001041E8">
      <w:pPr>
        <w:pStyle w:val="Proposal"/>
      </w:pPr>
      <w:bookmarkStart w:id="4" w:name="_Toc16550842"/>
      <w:bookmarkStart w:id="5" w:name="_Toc16557495"/>
      <w:bookmarkStart w:id="6" w:name="_Toc16557790"/>
      <w:bookmarkStart w:id="7" w:name="_Toc16574061"/>
      <w:bookmarkStart w:id="8" w:name="_Toc16579258"/>
      <w:bookmarkStart w:id="9" w:name="_Toc16579274"/>
      <w:bookmarkStart w:id="10" w:name="_Toc16583345"/>
      <w:bookmarkStart w:id="11" w:name="_Toc16583371"/>
      <w:bookmarkStart w:id="12" w:name="_Toc16616367"/>
      <w:bookmarkStart w:id="13" w:name="_Toc16616978"/>
      <w:bookmarkStart w:id="14" w:name="_Toc21090443"/>
      <w:bookmarkStart w:id="15" w:name="_Toc21091715"/>
      <w:bookmarkEnd w:id="1"/>
      <w:bookmarkEnd w:id="2"/>
      <w:bookmarkEnd w:id="3"/>
      <w:r>
        <w:t>Proposal 1:</w:t>
      </w:r>
      <w:r>
        <w:tab/>
      </w:r>
      <w:bookmarkEnd w:id="4"/>
      <w:bookmarkEnd w:id="5"/>
      <w:bookmarkEnd w:id="6"/>
      <w:bookmarkEnd w:id="7"/>
      <w:bookmarkEnd w:id="8"/>
      <w:bookmarkEnd w:id="9"/>
      <w:bookmarkEnd w:id="10"/>
      <w:bookmarkEnd w:id="11"/>
      <w:bookmarkEnd w:id="12"/>
      <w:r w:rsidR="0080208B">
        <w:t>Phase 1 of n</w:t>
      </w:r>
      <w:r w:rsidR="0080208B" w:rsidRPr="0080208B">
        <w:t>on-simultaneous UL carrier operation in FR2</w:t>
      </w:r>
      <w:r w:rsidR="0080208B">
        <w:t xml:space="preserve"> (intra-band non-contiguous and inter-band parts) </w:t>
      </w:r>
      <w:r w:rsidR="00B07C17">
        <w:t xml:space="preserve">should be </w:t>
      </w:r>
      <w:r w:rsidR="0080208B">
        <w:t>added to the Rel-16 RRM work plan starting with the RAN4 #93 meeting with a view toward completing Phase 2 during the RAN4</w:t>
      </w:r>
      <w:r w:rsidR="00133487">
        <w:t xml:space="preserve"> #94</w:t>
      </w:r>
      <w:r w:rsidR="0080208B">
        <w:t xml:space="preserve"> meeting</w:t>
      </w:r>
      <w:r w:rsidR="00B07C17">
        <w:t xml:space="preserve"> in order to avoid unintentional de-prioritization of the work</w:t>
      </w:r>
      <w:r w:rsidR="0080208B">
        <w:t>.</w:t>
      </w:r>
      <w:bookmarkEnd w:id="13"/>
      <w:bookmarkEnd w:id="14"/>
      <w:bookmarkEnd w:id="15"/>
    </w:p>
    <w:p w14:paraId="3DA6719B" w14:textId="71BADBC3" w:rsidR="00B07C17" w:rsidRPr="00B95542" w:rsidRDefault="00B07C17" w:rsidP="00392AE4">
      <w:pPr>
        <w:pStyle w:val="Proposal"/>
      </w:pPr>
      <w:bookmarkStart w:id="16" w:name="_Toc21091716"/>
      <w:r>
        <w:t>Proposal 2:</w:t>
      </w:r>
      <w:r>
        <w:tab/>
        <w:t>Since the RRM work must be conditioned on the conclusion of the feasibility discussions in the RF session, it is proposed to add the following to the list of tasks for the RAN4 #93 meeting: “</w:t>
      </w:r>
      <w:r w:rsidRPr="00B07C17">
        <w:t>If deemed feasible in the RF session, initiate work on the Non-simultaneous UL carrier operation in FR2 objective</w:t>
      </w:r>
      <w:r>
        <w:t>”</w:t>
      </w:r>
      <w:bookmarkStart w:id="17" w:name="_GoBack"/>
      <w:bookmarkEnd w:id="16"/>
      <w:bookmarkEnd w:id="17"/>
    </w:p>
    <w:p w14:paraId="34C99636" w14:textId="77777777" w:rsidR="008E7986" w:rsidRDefault="008E7986" w:rsidP="008E7986">
      <w:pPr>
        <w:pStyle w:val="Heading1"/>
      </w:pPr>
      <w:r>
        <w:t>3</w:t>
      </w:r>
      <w:r>
        <w:tab/>
        <w:t>Conclusions</w:t>
      </w:r>
    </w:p>
    <w:p w14:paraId="4FBB4955" w14:textId="4B43F36A" w:rsidR="005973BE" w:rsidRDefault="009D0431" w:rsidP="00E72324">
      <w:r>
        <w:t xml:space="preserve">This contribution </w:t>
      </w:r>
      <w:r w:rsidR="00757980">
        <w:rPr>
          <w:lang w:val="en-US"/>
        </w:rPr>
        <w:t>shared our views on the non-simultaneous transmission aspects</w:t>
      </w:r>
      <w:r w:rsidR="0080208B">
        <w:rPr>
          <w:lang w:val="en-US"/>
        </w:rPr>
        <w:t xml:space="preserve"> related to the Rel-16 RRM work plan with the following proposal</w:t>
      </w:r>
      <w:r w:rsidR="007414F1">
        <w:t>:</w:t>
      </w:r>
    </w:p>
    <w:p w14:paraId="3311DE70" w14:textId="77777777" w:rsidR="00B07C17"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B07C17">
        <w:rPr>
          <w:noProof/>
        </w:rPr>
        <w:t>Proposal 1:</w:t>
      </w:r>
      <w:r w:rsidR="00B07C17">
        <w:rPr>
          <w:rFonts w:asciiTheme="minorHAnsi" w:eastAsiaTheme="minorEastAsia" w:hAnsiTheme="minorHAnsi" w:cstheme="minorBidi"/>
          <w:b w:val="0"/>
          <w:bCs w:val="0"/>
          <w:noProof/>
          <w:sz w:val="24"/>
          <w:szCs w:val="24"/>
          <w:lang w:val="en-US"/>
        </w:rPr>
        <w:tab/>
      </w:r>
      <w:r w:rsidR="00B07C17">
        <w:rPr>
          <w:noProof/>
        </w:rPr>
        <w:t>Phase 1 of non-simultaneous UL carrier operation in FR2 (intra-band non-contiguous and inter-band parts) should be added to the Rel-16 RRM work plan starting with the RAN4 #93 meeting with a view toward completing Phase 2 during the RAN4 #94 meeting in order to avoid unintentional de-prioritization of the work.</w:t>
      </w:r>
    </w:p>
    <w:p w14:paraId="4F8F4D06" w14:textId="77777777" w:rsidR="00B07C17" w:rsidRDefault="00B07C17">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Since the RRM work must be conditioned on the conclusion of the feasibility discussions in the RF session, it is proposed to add the following to the list of tasks for the RAN4 #93 meeting: “If deemed feasible in the RF session, initiate work on the Non-simultaneous UL carrier operation in FR2 objective”</w:t>
      </w:r>
    </w:p>
    <w:p w14:paraId="05CC6F0A" w14:textId="33EC27F9" w:rsidR="005E69AE" w:rsidRDefault="0062595A" w:rsidP="00392AE4">
      <w:r>
        <w:rPr>
          <w:b/>
          <w:bCs/>
        </w:rPr>
        <w:fldChar w:fldCharType="end"/>
      </w:r>
    </w:p>
    <w:p w14:paraId="5D2DDC34" w14:textId="77777777" w:rsidR="005E69AE" w:rsidRDefault="005E69AE" w:rsidP="005E69AE">
      <w:pPr>
        <w:pStyle w:val="Heading1"/>
      </w:pPr>
      <w:r>
        <w:lastRenderedPageBreak/>
        <w:t>4</w:t>
      </w:r>
      <w:r>
        <w:tab/>
        <w:t>References</w:t>
      </w:r>
    </w:p>
    <w:p w14:paraId="5A56D322" w14:textId="7DA669FB" w:rsidR="00C315E4" w:rsidRDefault="00C315E4" w:rsidP="00276EE4">
      <w:pPr>
        <w:pStyle w:val="EX"/>
      </w:pPr>
      <w:bookmarkStart w:id="18" w:name="_Ref16616135"/>
      <w:bookmarkStart w:id="19" w:name="_Ref16575941"/>
      <w:bookmarkStart w:id="20" w:name="_Ref16557425"/>
      <w:r w:rsidRPr="00C315E4">
        <w:t>RP-191601</w:t>
      </w:r>
      <w:r>
        <w:t>, “</w:t>
      </w:r>
      <w:r w:rsidRPr="00C315E4">
        <w:t>New WI Proposal: NR RRM enhancement in R16</w:t>
      </w:r>
      <w:r>
        <w:t>”</w:t>
      </w:r>
      <w:bookmarkEnd w:id="18"/>
    </w:p>
    <w:p w14:paraId="277F1F6B" w14:textId="15F104EE" w:rsidR="008E2E1C" w:rsidRDefault="008E2E1C" w:rsidP="00276EE4">
      <w:pPr>
        <w:pStyle w:val="EX"/>
      </w:pPr>
      <w:bookmarkStart w:id="21" w:name="_Ref16616383"/>
      <w:r w:rsidRPr="008E2E1C">
        <w:t>RP-190761</w:t>
      </w:r>
      <w:r>
        <w:t>, “</w:t>
      </w:r>
      <w:r w:rsidRPr="008E2E1C">
        <w:t>NR RF requirements for FR2</w:t>
      </w:r>
      <w:r>
        <w:t>”</w:t>
      </w:r>
      <w:bookmarkEnd w:id="19"/>
      <w:bookmarkEnd w:id="21"/>
    </w:p>
    <w:p w14:paraId="6399B207" w14:textId="5B7C5FC1" w:rsidR="008E2E1C" w:rsidRDefault="008E2E1C" w:rsidP="00276EE4">
      <w:pPr>
        <w:pStyle w:val="EX"/>
      </w:pPr>
      <w:bookmarkStart w:id="22" w:name="_Ref16578384"/>
      <w:r w:rsidRPr="008E2E1C">
        <w:t>RP-190355</w:t>
      </w:r>
      <w:r>
        <w:t>, “</w:t>
      </w:r>
      <w:r w:rsidRPr="008E2E1C">
        <w:t>Motivation for the new WID on supplemental uplink usage of FR2 spectrum</w:t>
      </w:r>
      <w:r>
        <w:t>”</w:t>
      </w:r>
      <w:bookmarkEnd w:id="22"/>
    </w:p>
    <w:p w14:paraId="4E1C4FEF" w14:textId="37B36E27" w:rsidR="008E2E1C" w:rsidRDefault="008E2E1C" w:rsidP="008E2E1C">
      <w:pPr>
        <w:pStyle w:val="EX"/>
      </w:pPr>
      <w:bookmarkStart w:id="23" w:name="_Ref16578386"/>
      <w:r w:rsidRPr="008E2E1C">
        <w:t>RP-190356</w:t>
      </w:r>
      <w:r>
        <w:t>, “</w:t>
      </w:r>
      <w:r w:rsidRPr="008E2E1C">
        <w:t>New WID on Supplemental uplink usage of FR2 spectrum</w:t>
      </w:r>
      <w:r>
        <w:t>”</w:t>
      </w:r>
      <w:bookmarkEnd w:id="23"/>
    </w:p>
    <w:p w14:paraId="68B92C51" w14:textId="4FB7EFAE" w:rsidR="008E2E1C" w:rsidRDefault="004B351C" w:rsidP="008E2E1C">
      <w:pPr>
        <w:pStyle w:val="EX"/>
      </w:pPr>
      <w:bookmarkStart w:id="24" w:name="_Ref16576366"/>
      <w:r w:rsidRPr="004B351C">
        <w:t>3GPP TS38.101-2, “NR; User Equipment (UE) radio transmission and reception; Part 2: Range 2 Standalone”</w:t>
      </w:r>
      <w:bookmarkEnd w:id="20"/>
      <w:bookmarkEnd w:id="24"/>
    </w:p>
    <w:p w14:paraId="5E72D94D" w14:textId="2D7915EB" w:rsidR="00983CA2" w:rsidRDefault="00E12C40" w:rsidP="008E2E1C">
      <w:pPr>
        <w:pStyle w:val="EX"/>
      </w:pPr>
      <w:bookmarkStart w:id="25" w:name="_Ref16616515"/>
      <w:r w:rsidRPr="00E12C40">
        <w:t>R4-1908013</w:t>
      </w:r>
      <w:r w:rsidR="00983CA2">
        <w:t>, “</w:t>
      </w:r>
      <w:r w:rsidR="00983CA2" w:rsidRPr="00983CA2">
        <w:t>Non-simultaneous transmission for intra-band non-contiguous UL CA in FR2</w:t>
      </w:r>
      <w:r w:rsidR="00983CA2">
        <w:t>”</w:t>
      </w:r>
      <w:bookmarkEnd w:id="25"/>
    </w:p>
    <w:p w14:paraId="39568F62" w14:textId="0BE5BDD9" w:rsidR="00983CA2" w:rsidRDefault="00E12C40" w:rsidP="008E2E1C">
      <w:pPr>
        <w:pStyle w:val="EX"/>
      </w:pPr>
      <w:bookmarkStart w:id="26" w:name="_Ref16616516"/>
      <w:r w:rsidRPr="00E12C40">
        <w:t>R4-1908014</w:t>
      </w:r>
      <w:r w:rsidR="00983CA2">
        <w:t>, “</w:t>
      </w:r>
      <w:r w:rsidR="00983CA2" w:rsidRPr="00983CA2">
        <w:t>Non-simultaneous transmission for inter-band UL CA in FR2</w:t>
      </w:r>
      <w:r w:rsidR="00983CA2">
        <w:t>”</w:t>
      </w:r>
      <w:bookmarkEnd w:id="26"/>
    </w:p>
    <w:p w14:paraId="07B0F7A4" w14:textId="63018A02" w:rsidR="00B07C17" w:rsidRDefault="00B07C17" w:rsidP="008E2E1C">
      <w:pPr>
        <w:pStyle w:val="EX"/>
      </w:pPr>
      <w:bookmarkStart w:id="27" w:name="_Ref21091495"/>
      <w:r w:rsidRPr="00B07C17">
        <w:t>R4-1911512</w:t>
      </w:r>
      <w:r>
        <w:t>, “</w:t>
      </w:r>
      <w:r w:rsidRPr="00B07C17">
        <w:t>Carrier switching to enable non-simultaneous transmission for intra-band non-contiguous UL CA in FR2</w:t>
      </w:r>
      <w:r>
        <w:t>”</w:t>
      </w:r>
      <w:bookmarkEnd w:id="27"/>
      <w:r>
        <w:t xml:space="preserve"> </w:t>
      </w:r>
    </w:p>
    <w:bookmarkEnd w:id="0"/>
    <w:p w14:paraId="2C7BC95E" w14:textId="77777777" w:rsidR="00080512" w:rsidRDefault="00080512"/>
    <w:p w14:paraId="4178D90D" w14:textId="77777777" w:rsidR="00133487" w:rsidRDefault="00133487"/>
    <w:sectPr w:rsidR="00133487" w:rsidSect="00E1428B">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4CB4B" w14:textId="77777777" w:rsidR="00DB024A" w:rsidRDefault="00DB024A">
      <w:r>
        <w:separator/>
      </w:r>
    </w:p>
  </w:endnote>
  <w:endnote w:type="continuationSeparator" w:id="0">
    <w:p w14:paraId="17D436E4" w14:textId="77777777" w:rsidR="00DB024A" w:rsidRDefault="00DB0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9D2D2" w14:textId="60058998" w:rsidR="00E1428B" w:rsidRPr="00E1428B" w:rsidRDefault="00E1428B">
    <w:pPr>
      <w:pStyle w:val="Footer"/>
      <w:rPr>
        <w:lang w:val="en-US"/>
      </w:rPr>
    </w:pPr>
    <w:r>
      <w:rPr>
        <w:lang w:val="en-US"/>
      </w:rP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AB250" w14:textId="77777777" w:rsidR="00DB024A" w:rsidRDefault="00DB024A">
      <w:r>
        <w:separator/>
      </w:r>
    </w:p>
  </w:footnote>
  <w:footnote w:type="continuationSeparator" w:id="0">
    <w:p w14:paraId="31C97EB6" w14:textId="77777777" w:rsidR="00DB024A" w:rsidRDefault="00DB0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2F25"/>
    <w:rsid w:val="00075DE9"/>
    <w:rsid w:val="00080512"/>
    <w:rsid w:val="00096E4C"/>
    <w:rsid w:val="000A365D"/>
    <w:rsid w:val="000C47C3"/>
    <w:rsid w:val="000C5593"/>
    <w:rsid w:val="000D58AB"/>
    <w:rsid w:val="000F16B5"/>
    <w:rsid w:val="000F390E"/>
    <w:rsid w:val="001041E8"/>
    <w:rsid w:val="00104BC6"/>
    <w:rsid w:val="00133487"/>
    <w:rsid w:val="00133525"/>
    <w:rsid w:val="0019352A"/>
    <w:rsid w:val="001A4C42"/>
    <w:rsid w:val="001B7D07"/>
    <w:rsid w:val="001C21C3"/>
    <w:rsid w:val="001D02C2"/>
    <w:rsid w:val="001F0C1D"/>
    <w:rsid w:val="001F1132"/>
    <w:rsid w:val="001F168B"/>
    <w:rsid w:val="00211670"/>
    <w:rsid w:val="00232338"/>
    <w:rsid w:val="002347A2"/>
    <w:rsid w:val="00247926"/>
    <w:rsid w:val="002675F0"/>
    <w:rsid w:val="00271452"/>
    <w:rsid w:val="002747FA"/>
    <w:rsid w:val="00276EE4"/>
    <w:rsid w:val="002823DB"/>
    <w:rsid w:val="00284A66"/>
    <w:rsid w:val="002B33DF"/>
    <w:rsid w:val="002B6339"/>
    <w:rsid w:val="002D1B65"/>
    <w:rsid w:val="002E00EE"/>
    <w:rsid w:val="003172DC"/>
    <w:rsid w:val="0035462D"/>
    <w:rsid w:val="003577CB"/>
    <w:rsid w:val="0037102D"/>
    <w:rsid w:val="003765B8"/>
    <w:rsid w:val="003865BF"/>
    <w:rsid w:val="00392AE4"/>
    <w:rsid w:val="003A0483"/>
    <w:rsid w:val="003B329E"/>
    <w:rsid w:val="003C3971"/>
    <w:rsid w:val="003C564B"/>
    <w:rsid w:val="003E419B"/>
    <w:rsid w:val="003E7753"/>
    <w:rsid w:val="003F147E"/>
    <w:rsid w:val="00405996"/>
    <w:rsid w:val="00416CA0"/>
    <w:rsid w:val="00423334"/>
    <w:rsid w:val="004345EC"/>
    <w:rsid w:val="00435535"/>
    <w:rsid w:val="00460223"/>
    <w:rsid w:val="004803D6"/>
    <w:rsid w:val="004826A9"/>
    <w:rsid w:val="004A27F2"/>
    <w:rsid w:val="004B351C"/>
    <w:rsid w:val="004C1601"/>
    <w:rsid w:val="004D3578"/>
    <w:rsid w:val="004E213A"/>
    <w:rsid w:val="004F0988"/>
    <w:rsid w:val="004F2CBC"/>
    <w:rsid w:val="004F3340"/>
    <w:rsid w:val="004F3E3D"/>
    <w:rsid w:val="00507DB0"/>
    <w:rsid w:val="0053388B"/>
    <w:rsid w:val="00535773"/>
    <w:rsid w:val="00543E6C"/>
    <w:rsid w:val="0056309F"/>
    <w:rsid w:val="00565087"/>
    <w:rsid w:val="00572E14"/>
    <w:rsid w:val="005973BE"/>
    <w:rsid w:val="005A340D"/>
    <w:rsid w:val="005A5986"/>
    <w:rsid w:val="005C1A40"/>
    <w:rsid w:val="005C3436"/>
    <w:rsid w:val="005C4267"/>
    <w:rsid w:val="005C68C2"/>
    <w:rsid w:val="005D2E01"/>
    <w:rsid w:val="005D5E24"/>
    <w:rsid w:val="005D7526"/>
    <w:rsid w:val="005E69AE"/>
    <w:rsid w:val="00602AEA"/>
    <w:rsid w:val="00607E3C"/>
    <w:rsid w:val="00610775"/>
    <w:rsid w:val="00614FDF"/>
    <w:rsid w:val="00622097"/>
    <w:rsid w:val="006246A7"/>
    <w:rsid w:val="0062595A"/>
    <w:rsid w:val="00626A6B"/>
    <w:rsid w:val="0063543D"/>
    <w:rsid w:val="006455D0"/>
    <w:rsid w:val="00647114"/>
    <w:rsid w:val="00650832"/>
    <w:rsid w:val="006955CE"/>
    <w:rsid w:val="006A2DE2"/>
    <w:rsid w:val="006A323F"/>
    <w:rsid w:val="006B30D0"/>
    <w:rsid w:val="006C3D95"/>
    <w:rsid w:val="006E5C86"/>
    <w:rsid w:val="0070730A"/>
    <w:rsid w:val="00713C44"/>
    <w:rsid w:val="00714734"/>
    <w:rsid w:val="0073058F"/>
    <w:rsid w:val="00734A5B"/>
    <w:rsid w:val="0074026F"/>
    <w:rsid w:val="007414F1"/>
    <w:rsid w:val="007429F6"/>
    <w:rsid w:val="00744E76"/>
    <w:rsid w:val="00752075"/>
    <w:rsid w:val="00752198"/>
    <w:rsid w:val="00753881"/>
    <w:rsid w:val="00757980"/>
    <w:rsid w:val="007621C9"/>
    <w:rsid w:val="00774DA4"/>
    <w:rsid w:val="00781F0F"/>
    <w:rsid w:val="0078318F"/>
    <w:rsid w:val="007B600E"/>
    <w:rsid w:val="007F0F4A"/>
    <w:rsid w:val="0080208B"/>
    <w:rsid w:val="008028A4"/>
    <w:rsid w:val="00820B25"/>
    <w:rsid w:val="00830747"/>
    <w:rsid w:val="0083085A"/>
    <w:rsid w:val="008463E8"/>
    <w:rsid w:val="00855C2A"/>
    <w:rsid w:val="00857852"/>
    <w:rsid w:val="008768CA"/>
    <w:rsid w:val="008B1DF7"/>
    <w:rsid w:val="008C384C"/>
    <w:rsid w:val="008D6D91"/>
    <w:rsid w:val="008E2E1C"/>
    <w:rsid w:val="008E4697"/>
    <w:rsid w:val="008E7986"/>
    <w:rsid w:val="0090271F"/>
    <w:rsid w:val="00902E23"/>
    <w:rsid w:val="009114D7"/>
    <w:rsid w:val="0091348E"/>
    <w:rsid w:val="00917CCB"/>
    <w:rsid w:val="009319B2"/>
    <w:rsid w:val="00942EC2"/>
    <w:rsid w:val="009465C7"/>
    <w:rsid w:val="00983CA2"/>
    <w:rsid w:val="009C25EF"/>
    <w:rsid w:val="009D0431"/>
    <w:rsid w:val="009F37B7"/>
    <w:rsid w:val="009F5E43"/>
    <w:rsid w:val="00A01E38"/>
    <w:rsid w:val="00A10F02"/>
    <w:rsid w:val="00A1325F"/>
    <w:rsid w:val="00A164B4"/>
    <w:rsid w:val="00A20743"/>
    <w:rsid w:val="00A21269"/>
    <w:rsid w:val="00A26956"/>
    <w:rsid w:val="00A45552"/>
    <w:rsid w:val="00A53724"/>
    <w:rsid w:val="00A73129"/>
    <w:rsid w:val="00A82346"/>
    <w:rsid w:val="00A92BA1"/>
    <w:rsid w:val="00AC6BC6"/>
    <w:rsid w:val="00AE3797"/>
    <w:rsid w:val="00B05270"/>
    <w:rsid w:val="00B067DA"/>
    <w:rsid w:val="00B07C17"/>
    <w:rsid w:val="00B15449"/>
    <w:rsid w:val="00B678F8"/>
    <w:rsid w:val="00B93086"/>
    <w:rsid w:val="00B95542"/>
    <w:rsid w:val="00BA19ED"/>
    <w:rsid w:val="00BA300B"/>
    <w:rsid w:val="00BA4B8D"/>
    <w:rsid w:val="00BB0705"/>
    <w:rsid w:val="00BC0F7D"/>
    <w:rsid w:val="00BD134C"/>
    <w:rsid w:val="00BE3255"/>
    <w:rsid w:val="00BF128E"/>
    <w:rsid w:val="00BF31B8"/>
    <w:rsid w:val="00C02552"/>
    <w:rsid w:val="00C1496A"/>
    <w:rsid w:val="00C315E4"/>
    <w:rsid w:val="00C33079"/>
    <w:rsid w:val="00C45231"/>
    <w:rsid w:val="00C63803"/>
    <w:rsid w:val="00C72833"/>
    <w:rsid w:val="00C80F1D"/>
    <w:rsid w:val="00C85E1A"/>
    <w:rsid w:val="00C93F40"/>
    <w:rsid w:val="00CA3D0C"/>
    <w:rsid w:val="00CA62F9"/>
    <w:rsid w:val="00CC46EF"/>
    <w:rsid w:val="00CD28AB"/>
    <w:rsid w:val="00CE2768"/>
    <w:rsid w:val="00CF20E3"/>
    <w:rsid w:val="00D04B6E"/>
    <w:rsid w:val="00D14F6E"/>
    <w:rsid w:val="00D309CC"/>
    <w:rsid w:val="00D31083"/>
    <w:rsid w:val="00D46431"/>
    <w:rsid w:val="00D56A52"/>
    <w:rsid w:val="00D57972"/>
    <w:rsid w:val="00D641A4"/>
    <w:rsid w:val="00D675A9"/>
    <w:rsid w:val="00D738D6"/>
    <w:rsid w:val="00D749D2"/>
    <w:rsid w:val="00D755EB"/>
    <w:rsid w:val="00D87E00"/>
    <w:rsid w:val="00D9134D"/>
    <w:rsid w:val="00DA2311"/>
    <w:rsid w:val="00DA7A03"/>
    <w:rsid w:val="00DB024A"/>
    <w:rsid w:val="00DB1818"/>
    <w:rsid w:val="00DC309B"/>
    <w:rsid w:val="00DC30F8"/>
    <w:rsid w:val="00DC4DA2"/>
    <w:rsid w:val="00DD4C17"/>
    <w:rsid w:val="00DF2B1F"/>
    <w:rsid w:val="00DF6189"/>
    <w:rsid w:val="00DF62CD"/>
    <w:rsid w:val="00E01DAD"/>
    <w:rsid w:val="00E067CE"/>
    <w:rsid w:val="00E12C40"/>
    <w:rsid w:val="00E1428B"/>
    <w:rsid w:val="00E16509"/>
    <w:rsid w:val="00E44582"/>
    <w:rsid w:val="00E47A74"/>
    <w:rsid w:val="00E50039"/>
    <w:rsid w:val="00E51B12"/>
    <w:rsid w:val="00E52814"/>
    <w:rsid w:val="00E72324"/>
    <w:rsid w:val="00E72ABE"/>
    <w:rsid w:val="00E76CA9"/>
    <w:rsid w:val="00E77645"/>
    <w:rsid w:val="00E80C3E"/>
    <w:rsid w:val="00E93157"/>
    <w:rsid w:val="00EB176F"/>
    <w:rsid w:val="00EB342C"/>
    <w:rsid w:val="00EC4A25"/>
    <w:rsid w:val="00EE5AA7"/>
    <w:rsid w:val="00F025A2"/>
    <w:rsid w:val="00F04712"/>
    <w:rsid w:val="00F21311"/>
    <w:rsid w:val="00F22EC7"/>
    <w:rsid w:val="00F325C8"/>
    <w:rsid w:val="00F41375"/>
    <w:rsid w:val="00F532F5"/>
    <w:rsid w:val="00F62AEB"/>
    <w:rsid w:val="00F653B8"/>
    <w:rsid w:val="00F70647"/>
    <w:rsid w:val="00F714EE"/>
    <w:rsid w:val="00F83F50"/>
    <w:rsid w:val="00FA1266"/>
    <w:rsid w:val="00FB109C"/>
    <w:rsid w:val="00FB7CBD"/>
    <w:rsid w:val="00FC1192"/>
    <w:rsid w:val="00FD0F5E"/>
    <w:rsid w:val="00FE76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styleId="PlaceholderText">
    <w:name w:val="Placeholder Text"/>
    <w:basedOn w:val="DefaultParagraphFont"/>
    <w:uiPriority w:val="99"/>
    <w:semiHidden/>
    <w:rsid w:val="00626A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09AE9-0537-4C40-A4CD-A17EB6063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233</TotalTime>
  <Pages>3</Pages>
  <Words>1055</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80</cp:revision>
  <cp:lastPrinted>2019-02-25T14:05:00Z</cp:lastPrinted>
  <dcterms:created xsi:type="dcterms:W3CDTF">2019-08-12T08:11:00Z</dcterms:created>
  <dcterms:modified xsi:type="dcterms:W3CDTF">2019-10-04T23:01:00Z</dcterms:modified>
  <cp:category/>
</cp:coreProperties>
</file>